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9A" w:rsidRPr="00F34F9A" w:rsidRDefault="00F34F9A" w:rsidP="00F34F9A">
      <w:pPr>
        <w:rPr>
          <w:b/>
        </w:rPr>
      </w:pPr>
      <w:r w:rsidRPr="00F34F9A">
        <w:rPr>
          <w:b/>
        </w:rPr>
        <w:t>Consolidated list of species of Union Concern</w:t>
      </w:r>
    </w:p>
    <w:p w:rsidR="00F34F9A" w:rsidRDefault="00F34F9A" w:rsidP="00F34F9A"/>
    <w:p w:rsidR="00F34F9A" w:rsidRDefault="00F34F9A" w:rsidP="00F34F9A">
      <w:r>
        <w:t xml:space="preserve">This list has been compiled by the GB NNSS from </w:t>
      </w:r>
      <w:r w:rsidR="003C21B1">
        <w:t xml:space="preserve">the </w:t>
      </w:r>
      <w:r w:rsidR="00B70A0C">
        <w:t>initial list</w:t>
      </w:r>
      <w:r>
        <w:t xml:space="preserve"> of species of Union Concern</w:t>
      </w:r>
      <w:r w:rsidR="00B70A0C">
        <w:t xml:space="preserve"> and two </w:t>
      </w:r>
      <w:r w:rsidR="003C21B1">
        <w:t xml:space="preserve">subsequent </w:t>
      </w:r>
      <w:r w:rsidR="00B70A0C">
        <w:t>updates</w:t>
      </w:r>
      <w:r>
        <w:t xml:space="preserve"> published by the European Commission. </w:t>
      </w:r>
      <w:r w:rsidR="003C21B1">
        <w:t>Frequently used c</w:t>
      </w:r>
      <w:r>
        <w:t xml:space="preserve">ommon names have been added. </w:t>
      </w:r>
      <w:r w:rsidR="003C21B1">
        <w:t>Note synonyms are not included.</w:t>
      </w:r>
    </w:p>
    <w:p w:rsidR="00F34F9A" w:rsidRDefault="003C21B1" w:rsidP="00F34F9A">
      <w:r>
        <w:t xml:space="preserve">This list is provided for convenience.  For </w:t>
      </w:r>
      <w:r w:rsidR="00F34F9A">
        <w:t>definitive text please refer to the lists published by the European Commission</w:t>
      </w:r>
      <w:r>
        <w:t>.  Links to these lists are provided below:</w:t>
      </w:r>
    </w:p>
    <w:p w:rsidR="00F34F9A" w:rsidRDefault="00B70A0C" w:rsidP="00F34F9A">
      <w:r>
        <w:t>Initial</w:t>
      </w:r>
      <w:r w:rsidR="00F34F9A">
        <w:t xml:space="preserve"> list: </w:t>
      </w:r>
      <w:hyperlink r:id="rId5" w:history="1">
        <w:r w:rsidR="00F34F9A" w:rsidRPr="00374CC7">
          <w:rPr>
            <w:rStyle w:val="Hyperlink"/>
          </w:rPr>
          <w:t>http://eur-lex.europa.eu/legal-content/EN/TXT/PDF/?uri=CELEX:32016R1141&amp;from=EN</w:t>
        </w:r>
      </w:hyperlink>
      <w:r w:rsidR="00F34F9A">
        <w:t xml:space="preserve"> </w:t>
      </w:r>
    </w:p>
    <w:p w:rsidR="00F34F9A" w:rsidRDefault="00B70A0C" w:rsidP="00F34F9A">
      <w:r>
        <w:t>First update</w:t>
      </w:r>
      <w:r w:rsidR="00F34F9A">
        <w:t xml:space="preserve">: </w:t>
      </w:r>
      <w:hyperlink r:id="rId6" w:history="1">
        <w:r w:rsidR="00F34F9A" w:rsidRPr="00374CC7">
          <w:rPr>
            <w:rStyle w:val="Hyperlink"/>
          </w:rPr>
          <w:t>https://eur-lex.europa.eu/legal-</w:t>
        </w:r>
        <w:bookmarkStart w:id="0" w:name="_GoBack"/>
        <w:bookmarkEnd w:id="0"/>
        <w:r w:rsidR="00F34F9A" w:rsidRPr="00374CC7">
          <w:rPr>
            <w:rStyle w:val="Hyperlink"/>
          </w:rPr>
          <w:t>content/EN/TXT/PDF/?uri=CELEX:32017R1263&amp;from=EN</w:t>
        </w:r>
      </w:hyperlink>
      <w:r w:rsidR="00F34F9A">
        <w:t xml:space="preserve"> </w:t>
      </w:r>
    </w:p>
    <w:p w:rsidR="00F34F9A" w:rsidRDefault="00B70A0C" w:rsidP="00F34F9A">
      <w:r>
        <w:t>Second update</w:t>
      </w:r>
      <w:r w:rsidR="00F34F9A">
        <w:t>:</w:t>
      </w:r>
      <w:r w:rsidR="00F34F9A" w:rsidRPr="00F34F9A">
        <w:t xml:space="preserve"> </w:t>
      </w:r>
      <w:hyperlink r:id="rId7" w:history="1">
        <w:r w:rsidR="00F34F9A" w:rsidRPr="00374CC7">
          <w:rPr>
            <w:rStyle w:val="Hyperlink"/>
          </w:rPr>
          <w:t>https://eur-lex.europa.eu/legal-content/EN/TXT/PDF/?uri=CELEX:32019R1262&amp;from=EN</w:t>
        </w:r>
      </w:hyperlink>
      <w:r w:rsidR="00F34F9A">
        <w:t xml:space="preserve"> </w:t>
      </w:r>
    </w:p>
    <w:p w:rsidR="00F34F9A" w:rsidRDefault="00F34F9A" w:rsidP="00F34F9A">
      <w:r>
        <w:t xml:space="preserve">Further information on the EU IAS Regulation: </w:t>
      </w:r>
      <w:hyperlink r:id="rId8" w:history="1">
        <w:r w:rsidRPr="00374CC7">
          <w:rPr>
            <w:rStyle w:val="Hyperlink"/>
          </w:rPr>
          <w:t>https://secure.fera.defra.gov.uk/nonnativespecies/index.cfm?sectionid=7</w:t>
        </w:r>
      </w:hyperlink>
      <w:r>
        <w:t xml:space="preserve">  </w:t>
      </w:r>
    </w:p>
    <w:p w:rsidR="00F34F9A" w:rsidRDefault="00F34F9A" w:rsidP="00754B8B"/>
    <w:p w:rsidR="00B1111C" w:rsidRDefault="00B1111C" w:rsidP="00754B8B">
      <w:pPr>
        <w:rPr>
          <w:b/>
        </w:rPr>
      </w:pPr>
      <w:r>
        <w:rPr>
          <w:b/>
        </w:rPr>
        <w:br w:type="page"/>
      </w:r>
    </w:p>
    <w:p w:rsidR="00B1111C" w:rsidRDefault="00B1111C" w:rsidP="00B1111C">
      <w:pPr>
        <w:rPr>
          <w:b/>
        </w:rPr>
      </w:pPr>
      <w:r>
        <w:rPr>
          <w:b/>
        </w:rPr>
        <w:lastRenderedPageBreak/>
        <w:t>Animals</w:t>
      </w:r>
    </w:p>
    <w:p w:rsidR="00B1111C" w:rsidRPr="00F34F9A" w:rsidRDefault="00B1111C" w:rsidP="00B1111C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1985"/>
      </w:tblGrid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Scientific name</w:t>
            </w:r>
          </w:p>
        </w:tc>
        <w:tc>
          <w:tcPr>
            <w:tcW w:w="3402" w:type="dxa"/>
            <w:shd w:val="clear" w:color="auto" w:fill="auto"/>
            <w:noWrap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Common name</w:t>
            </w:r>
          </w:p>
        </w:tc>
        <w:tc>
          <w:tcPr>
            <w:tcW w:w="1985" w:type="dxa"/>
            <w:shd w:val="clear" w:color="auto" w:fill="auto"/>
            <w:noWrap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Entry into force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Acridotheres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tristis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Common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myna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Alopochen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aegyptiacus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Egyptian goose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Arthurdendyus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triangulatus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New Zealand flatworm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Callosciurus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erythraeus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Pallas's squirrel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Corvus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splendens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8152E2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hyperlink r:id="rId9" w:history="1">
              <w:r w:rsidR="00B1111C" w:rsidRPr="00F34F9A">
                <w:rPr>
                  <w:rFonts w:eastAsia="Times New Roman" w:cs="Arial"/>
                  <w:sz w:val="22"/>
                  <w:szCs w:val="22"/>
                  <w:lang w:eastAsia="en-GB"/>
                </w:rPr>
                <w:t>Indian house crow</w:t>
              </w:r>
            </w:hyperlink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Eriocheir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sinensis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Chinese mitten crab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Herpestes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javanicus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Small Asian mongoose /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Javan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mongoose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Lepomis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gibbosus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Pumpkinseed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Lithobates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(Rana)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catesbeianus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North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american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bullfrog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Muntiacus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reevesii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Muntjac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deer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Myocastor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coypus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Coypu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Nasua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nasua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Coati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Nyctereutes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procyonoides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Raccoon dog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February 2019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Ondatra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zibethicus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Muskrat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Orconectes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limosus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Faxonius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limosus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Spiny-cheek crayfish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Orconectes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virilis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Faxonius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virilis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Virile crayfish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Oxyura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jamaicensis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Ruddy duck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Pacifastacus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leniusculus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Signal crayfish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Percottus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glenii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Chinese sleeper / Amur sleeper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Plotosus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lineatus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Striped eel catfish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Procambarus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clarkii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Red swamp crayfish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Procambarus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fallax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f.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virginalis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Procambarus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virginalis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Marbled crayfish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Procyon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lotor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Raccoon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Pseudorasbora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parva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Stone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moroko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Sciurus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carolinensis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Grey squirrel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Sciurus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niger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Fox squirrel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Tamias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sibiricus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Siberian chipmunk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Threskiornis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aethiopicus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Sacred ibis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Trachemys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scripta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Red-eared terrapin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B1111C" w:rsidRPr="00F34F9A" w:rsidTr="004B4155">
        <w:trPr>
          <w:trHeight w:val="300"/>
        </w:trPr>
        <w:tc>
          <w:tcPr>
            <w:tcW w:w="4106" w:type="dxa"/>
            <w:shd w:val="clear" w:color="auto" w:fill="auto"/>
            <w:noWrap/>
            <w:hideMark/>
          </w:tcPr>
          <w:p w:rsidR="00B1111C" w:rsidRPr="00E444AF" w:rsidRDefault="00B1111C" w:rsidP="004B4155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Vespa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velutina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nigrithorax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Asian hornet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1111C" w:rsidRPr="00F34F9A" w:rsidRDefault="00B1111C" w:rsidP="004B4155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</w:tbl>
    <w:p w:rsidR="00B1111C" w:rsidRPr="00C13E7B" w:rsidRDefault="00B1111C" w:rsidP="00B1111C"/>
    <w:p w:rsidR="0071201F" w:rsidRDefault="00B1111C" w:rsidP="00754B8B">
      <w:pPr>
        <w:rPr>
          <w:b/>
        </w:rPr>
      </w:pPr>
      <w:r>
        <w:rPr>
          <w:b/>
        </w:rPr>
        <w:lastRenderedPageBreak/>
        <w:t>Plants</w:t>
      </w:r>
    </w:p>
    <w:p w:rsidR="00F34F9A" w:rsidRPr="00F34F9A" w:rsidRDefault="00F34F9A" w:rsidP="00754B8B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30"/>
        <w:gridCol w:w="1843"/>
      </w:tblGrid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Scientific name</w:t>
            </w:r>
          </w:p>
        </w:tc>
        <w:tc>
          <w:tcPr>
            <w:tcW w:w="2830" w:type="dxa"/>
            <w:shd w:val="clear" w:color="auto" w:fill="auto"/>
            <w:noWrap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Common name</w:t>
            </w:r>
          </w:p>
        </w:tc>
        <w:tc>
          <w:tcPr>
            <w:tcW w:w="1843" w:type="dxa"/>
            <w:shd w:val="clear" w:color="auto" w:fill="auto"/>
            <w:noWrap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b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b/>
                <w:sz w:val="22"/>
                <w:szCs w:val="22"/>
                <w:lang w:eastAsia="en-GB"/>
              </w:rPr>
              <w:t>Entry into force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Acacia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saligna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(Acacia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cyanophylla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Golden wreath wattle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8152E2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Ailanthus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altissima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Tree of heaven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Alternanthera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philoxeroides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Alligator 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Andropogon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virginicus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Broomsedge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bluestem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Asclepias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syriaca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Milkweed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Baccharis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halimifolia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Eastern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Baccharis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Cabomba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caroliniana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Green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cabomba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Cardiospermum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grandiflorum 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Balloon vine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Cortaderia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jubata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Purple pampas grass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Ehrharta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calycina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Perennial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veldtgrass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Eichhornia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crassipes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8152E2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hyperlink r:id="rId10" w:history="1">
              <w:r w:rsidR="00F34F9A" w:rsidRPr="00F34F9A">
                <w:rPr>
                  <w:rFonts w:eastAsia="Times New Roman" w:cs="Arial"/>
                  <w:sz w:val="22"/>
                  <w:szCs w:val="22"/>
                  <w:lang w:eastAsia="en-GB"/>
                </w:rPr>
                <w:t>Water hyacinth</w:t>
              </w:r>
            </w:hyperlink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Elodea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nuttallii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Nuttall's waterweed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Gunnera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tinctoria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Chilean rhubarb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Gymnocoronis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spilanthoides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Senegal tea plant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Heracleum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persicum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Persian hogweed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Heracleum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sosnowskyi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Sosnowski's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hogweed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Her</w:t>
            </w:r>
            <w:r w:rsidR="00B70A0C"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</w:t>
            </w: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cleaum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mantegazzianum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Giant hogweed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Humulus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scandens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Japanese hop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Hydrocotyle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ranunculoides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Floating pennywort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Impatiens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glandulifera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Himalayan balsam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Lagarosiphon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major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Curly waterweed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Lespedeza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cuneata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(Lespedeza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juncea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var.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sericea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Chinese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bushclover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Ludwigia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grandiflora 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Water primrose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Ludwigia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peploides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Floating primrose willow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Lygodium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japonicum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Vine-like fern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Lysichiton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americanus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American skunk cabbage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Microstegium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vimineum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Japanese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stiltgrass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Myriophyllum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aquaticum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Parrot's feather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Myriophyllum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heterophyllum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Broadleaf watermilfoil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Parthenium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hysterophorus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Whitetop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weed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Pennisetum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setaceum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Crimson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fountaingrass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02 August 2017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Persicaria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perfoliata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Polygonum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perfoliatum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Asiatic </w:t>
            </w: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tearthumb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lastRenderedPageBreak/>
              <w:t>Prosopis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juliflora</w:t>
            </w:r>
            <w:proofErr w:type="spellEnd"/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Mesquite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Pueraria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montana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var.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lobata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Pueraria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lobata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Kudzu vine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03 August 2016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Salvinia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molesta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Salvinia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adnata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proofErr w:type="spellStart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Salvinia</w:t>
            </w:r>
            <w:proofErr w:type="spellEnd"/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moss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  <w:tr w:rsidR="00F34F9A" w:rsidRPr="00F34F9A" w:rsidTr="00B1111C">
        <w:trPr>
          <w:trHeight w:val="300"/>
        </w:trPr>
        <w:tc>
          <w:tcPr>
            <w:tcW w:w="4820" w:type="dxa"/>
            <w:shd w:val="clear" w:color="auto" w:fill="auto"/>
            <w:noWrap/>
            <w:hideMark/>
          </w:tcPr>
          <w:p w:rsidR="00F34F9A" w:rsidRPr="00E444AF" w:rsidRDefault="00F34F9A" w:rsidP="00F34F9A">
            <w:pPr>
              <w:spacing w:before="0" w:after="0" w:line="360" w:lineRule="auto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Triadica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sebifera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Sapium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sebiferum</w:t>
            </w:r>
            <w:proofErr w:type="spellEnd"/>
            <w:r w:rsidRPr="00E444AF">
              <w:rPr>
                <w:rFonts w:eastAsia="Times New Roman" w:cs="Arial"/>
                <w:i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2830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Chinese tallow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34F9A" w:rsidRPr="00F34F9A" w:rsidRDefault="00F34F9A" w:rsidP="00F34F9A">
            <w:pPr>
              <w:spacing w:before="0" w:after="0" w:line="36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>1</w:t>
            </w:r>
            <w:r w:rsidR="008152E2">
              <w:rPr>
                <w:rFonts w:eastAsia="Times New Roman" w:cs="Arial"/>
                <w:sz w:val="22"/>
                <w:szCs w:val="22"/>
                <w:lang w:eastAsia="en-GB"/>
              </w:rPr>
              <w:t>5</w:t>
            </w:r>
            <w:r w:rsidRPr="00F34F9A">
              <w:rPr>
                <w:rFonts w:eastAsia="Times New Roman" w:cs="Arial"/>
                <w:sz w:val="22"/>
                <w:szCs w:val="22"/>
                <w:lang w:eastAsia="en-GB"/>
              </w:rPr>
              <w:t xml:space="preserve"> August 2019</w:t>
            </w:r>
          </w:p>
        </w:tc>
      </w:tr>
    </w:tbl>
    <w:p w:rsidR="00B1111C" w:rsidRDefault="00B1111C" w:rsidP="00B1111C">
      <w:pPr>
        <w:rPr>
          <w:b/>
        </w:rPr>
      </w:pPr>
    </w:p>
    <w:sectPr w:rsidR="00B1111C" w:rsidSect="004E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9A"/>
    <w:rsid w:val="001C5D20"/>
    <w:rsid w:val="003450AC"/>
    <w:rsid w:val="003A3BB7"/>
    <w:rsid w:val="003C21B1"/>
    <w:rsid w:val="004E67ED"/>
    <w:rsid w:val="005B4D36"/>
    <w:rsid w:val="005B5A97"/>
    <w:rsid w:val="006315C8"/>
    <w:rsid w:val="006C7955"/>
    <w:rsid w:val="0071201F"/>
    <w:rsid w:val="00754B8B"/>
    <w:rsid w:val="008152E2"/>
    <w:rsid w:val="008D5BC7"/>
    <w:rsid w:val="008F4B7E"/>
    <w:rsid w:val="009C0C43"/>
    <w:rsid w:val="00A13958"/>
    <w:rsid w:val="00B1111C"/>
    <w:rsid w:val="00B70A0C"/>
    <w:rsid w:val="00B83E79"/>
    <w:rsid w:val="00C13E7B"/>
    <w:rsid w:val="00C541E0"/>
    <w:rsid w:val="00CA5AFA"/>
    <w:rsid w:val="00CE687E"/>
    <w:rsid w:val="00E34859"/>
    <w:rsid w:val="00E444AF"/>
    <w:rsid w:val="00F3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001-B001-4E85-BB0A-A31B75A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58"/>
    <w:pPr>
      <w:spacing w:before="24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Theme="majorEastAsia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F34F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fera.defra.gov.uk/nonnativespecies/index.cfm?section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PDF/?uri=CELEX:32019R1262&amp;from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PDF/?uri=CELEX:32017R1263&amp;from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ur-lex.europa.eu/legal-content/EN/TXT/PDF/?uri=CELEX:32016R1141&amp;from=EN" TargetMode="External"/><Relationship Id="rId10" Type="http://schemas.openxmlformats.org/officeDocument/2006/relationships/hyperlink" Target="https://eur-lex.europa.eu/legal-content/EN/TXT/PDF/?uri=CELEX:32017R1263&amp;from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PDF/?uri=CELEX:32016R114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</dc:creator>
  <cp:keywords/>
  <dc:description/>
  <cp:lastModifiedBy>Cornwell, Lucy</cp:lastModifiedBy>
  <cp:revision>5</cp:revision>
  <dcterms:created xsi:type="dcterms:W3CDTF">2019-09-02T15:45:00Z</dcterms:created>
  <dcterms:modified xsi:type="dcterms:W3CDTF">2019-12-18T09:59:00Z</dcterms:modified>
</cp:coreProperties>
</file>